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936D0" w14:textId="77777777" w:rsidR="00FE067E" w:rsidRPr="00B33E10" w:rsidRDefault="00CD36CF" w:rsidP="00CC1F3B">
      <w:pPr>
        <w:pStyle w:val="TitlePageOrigin"/>
        <w:rPr>
          <w:color w:val="auto"/>
        </w:rPr>
      </w:pPr>
      <w:r w:rsidRPr="00B33E10">
        <w:rPr>
          <w:color w:val="auto"/>
        </w:rPr>
        <w:t>WEST virginia legislature</w:t>
      </w:r>
    </w:p>
    <w:p w14:paraId="6AB8A3EC" w14:textId="30E19765" w:rsidR="00CD36CF" w:rsidRPr="00B33E10" w:rsidRDefault="00CD36CF" w:rsidP="00CC1F3B">
      <w:pPr>
        <w:pStyle w:val="TitlePageSession"/>
        <w:rPr>
          <w:color w:val="auto"/>
        </w:rPr>
      </w:pPr>
      <w:r w:rsidRPr="00B33E10">
        <w:rPr>
          <w:color w:val="auto"/>
        </w:rPr>
        <w:t>20</w:t>
      </w:r>
      <w:r w:rsidR="00CB1ADC" w:rsidRPr="00B33E10">
        <w:rPr>
          <w:color w:val="auto"/>
        </w:rPr>
        <w:t>2</w:t>
      </w:r>
      <w:r w:rsidR="00401B57" w:rsidRPr="00B33E10">
        <w:rPr>
          <w:color w:val="auto"/>
        </w:rPr>
        <w:t>5</w:t>
      </w:r>
      <w:r w:rsidRPr="00B33E10">
        <w:rPr>
          <w:color w:val="auto"/>
        </w:rPr>
        <w:t xml:space="preserve"> regular session</w:t>
      </w:r>
    </w:p>
    <w:p w14:paraId="4875972F" w14:textId="6C30D33A" w:rsidR="00CD36CF" w:rsidRPr="00B33E10" w:rsidRDefault="00DE1C93" w:rsidP="00CC1F3B">
      <w:pPr>
        <w:pStyle w:val="TitlePageBillPrefix"/>
        <w:rPr>
          <w:color w:val="auto"/>
        </w:rPr>
      </w:pPr>
      <w:sdt>
        <w:sdtPr>
          <w:rPr>
            <w:color w:val="auto"/>
          </w:rPr>
          <w:tag w:val="IntroDate"/>
          <w:id w:val="-1236936958"/>
          <w:placeholder>
            <w:docPart w:val="C3B307651B904D378A5FF67827E81709"/>
          </w:placeholder>
          <w:text/>
        </w:sdtPr>
        <w:sdtEndPr/>
        <w:sdtContent>
          <w:r w:rsidR="00901C27" w:rsidRPr="00B33E10">
            <w:rPr>
              <w:color w:val="auto"/>
            </w:rPr>
            <w:t>EN</w:t>
          </w:r>
          <w:r w:rsidR="00B33E10" w:rsidRPr="00B33E10">
            <w:rPr>
              <w:color w:val="auto"/>
            </w:rPr>
            <w:t>ROLLED</w:t>
          </w:r>
        </w:sdtContent>
      </w:sdt>
    </w:p>
    <w:p w14:paraId="6235C8FA" w14:textId="185E4DBA" w:rsidR="00CD36CF" w:rsidRPr="00B33E10" w:rsidRDefault="00DE1C9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0D45C1" w:rsidRPr="00B33E10">
            <w:rPr>
              <w:color w:val="auto"/>
            </w:rPr>
            <w:t>House</w:t>
          </w:r>
        </w:sdtContent>
      </w:sdt>
      <w:r w:rsidR="00303684" w:rsidRPr="00B33E10">
        <w:rPr>
          <w:color w:val="auto"/>
        </w:rPr>
        <w:t xml:space="preserve"> </w:t>
      </w:r>
      <w:r w:rsidR="00CD36CF" w:rsidRPr="00B33E10">
        <w:rPr>
          <w:color w:val="auto"/>
        </w:rPr>
        <w:t xml:space="preserve">Bill </w:t>
      </w:r>
      <w:sdt>
        <w:sdtPr>
          <w:rPr>
            <w:color w:val="auto"/>
          </w:rPr>
          <w:tag w:val="BNum"/>
          <w:id w:val="1645317809"/>
          <w:lock w:val="sdtLocked"/>
          <w:placeholder>
            <w:docPart w:val="7CD44D7481684EFBB2169CAE07E0AB86"/>
          </w:placeholder>
          <w:text/>
        </w:sdtPr>
        <w:sdtEndPr/>
        <w:sdtContent>
          <w:r w:rsidR="003A6257" w:rsidRPr="00B33E10">
            <w:rPr>
              <w:color w:val="auto"/>
            </w:rPr>
            <w:t>2165</w:t>
          </w:r>
        </w:sdtContent>
      </w:sdt>
    </w:p>
    <w:p w14:paraId="446C1608" w14:textId="452EAF5B" w:rsidR="00CD36CF" w:rsidRPr="00B33E10" w:rsidRDefault="00CD36CF" w:rsidP="00CC1F3B">
      <w:pPr>
        <w:pStyle w:val="Sponsors"/>
        <w:rPr>
          <w:color w:val="auto"/>
        </w:rPr>
      </w:pPr>
      <w:r w:rsidRPr="00B33E10">
        <w:rPr>
          <w:color w:val="auto"/>
        </w:rPr>
        <w:t xml:space="preserve">By </w:t>
      </w:r>
      <w:sdt>
        <w:sdtPr>
          <w:rPr>
            <w:color w:val="auto"/>
          </w:rPr>
          <w:tag w:val="Sponsors"/>
          <w:id w:val="1589585889"/>
          <w:placeholder>
            <w:docPart w:val="BC6A277E70A54C5D83F0F91084EB54B0"/>
          </w:placeholder>
          <w:text w:multiLine="1"/>
        </w:sdtPr>
        <w:sdtEndPr/>
        <w:sdtContent>
          <w:r w:rsidR="000D45C1" w:rsidRPr="00B33E10">
            <w:rPr>
              <w:color w:val="auto"/>
            </w:rPr>
            <w:t>Delegate</w:t>
          </w:r>
          <w:r w:rsidR="00BB720A" w:rsidRPr="00B33E10">
            <w:rPr>
              <w:color w:val="auto"/>
            </w:rPr>
            <w:t>s</w:t>
          </w:r>
          <w:r w:rsidR="000D45C1" w:rsidRPr="00B33E10">
            <w:rPr>
              <w:color w:val="auto"/>
            </w:rPr>
            <w:t xml:space="preserve"> </w:t>
          </w:r>
          <w:r w:rsidR="00B33E10" w:rsidRPr="00B33E10">
            <w:rPr>
              <w:color w:val="auto"/>
            </w:rPr>
            <w:t>J.</w:t>
          </w:r>
          <w:r w:rsidR="000D45C1" w:rsidRPr="00B33E10">
            <w:rPr>
              <w:color w:val="auto"/>
            </w:rPr>
            <w:t>Cannon</w:t>
          </w:r>
          <w:r w:rsidR="00BB720A" w:rsidRPr="00B33E10">
            <w:rPr>
              <w:color w:val="auto"/>
            </w:rPr>
            <w:t xml:space="preserve">, Chiarelli, Holstein, Riley, Cooper, Maynor, Hornby, Willis, and Young </w:t>
          </w:r>
        </w:sdtContent>
      </w:sdt>
    </w:p>
    <w:p w14:paraId="186226AE" w14:textId="19026FD4" w:rsidR="008F3608" w:rsidRPr="00B33E10" w:rsidRDefault="00CD36CF" w:rsidP="00CC1F3B">
      <w:pPr>
        <w:pStyle w:val="References"/>
        <w:rPr>
          <w:color w:val="auto"/>
        </w:rPr>
        <w:sectPr w:rsidR="008F3608" w:rsidRPr="00B33E10"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33E10">
        <w:rPr>
          <w:color w:val="auto"/>
        </w:rPr>
        <w:t>[</w:t>
      </w:r>
      <w:sdt>
        <w:sdtPr>
          <w:rPr>
            <w:rFonts w:cs="Times New Roman"/>
            <w:color w:val="auto"/>
            <w:szCs w:val="24"/>
          </w:rPr>
          <w:tag w:val="References"/>
          <w:id w:val="-1043047873"/>
          <w:placeholder>
            <w:docPart w:val="460D713500284C7FB4932CF3609CC106"/>
          </w:placeholder>
          <w:text w:multiLine="1"/>
        </w:sdtPr>
        <w:sdtEndPr/>
        <w:sdtContent>
          <w:r w:rsidR="00B33E10" w:rsidRPr="00B33E10">
            <w:rPr>
              <w:rFonts w:cs="Times New Roman"/>
              <w:color w:val="auto"/>
              <w:szCs w:val="24"/>
            </w:rPr>
            <w:t>Passed April 10, 2025; in effect 90 days from passage (July 9, 2025)</w:t>
          </w:r>
        </w:sdtContent>
      </w:sdt>
      <w:r w:rsidRPr="00B33E10">
        <w:rPr>
          <w:color w:val="auto"/>
        </w:rPr>
        <w:t>]</w:t>
      </w:r>
    </w:p>
    <w:p w14:paraId="01960A60" w14:textId="0F5BB141" w:rsidR="00E831B3" w:rsidRPr="00B33E10" w:rsidRDefault="00E831B3" w:rsidP="00CC1F3B">
      <w:pPr>
        <w:pStyle w:val="References"/>
        <w:rPr>
          <w:color w:val="auto"/>
        </w:rPr>
      </w:pPr>
    </w:p>
    <w:p w14:paraId="7418B3B4" w14:textId="41700E16" w:rsidR="00303684" w:rsidRPr="00B33E10" w:rsidRDefault="00CA6AB3" w:rsidP="0056242A">
      <w:pPr>
        <w:pStyle w:val="TitleSection"/>
        <w:rPr>
          <w:color w:val="auto"/>
        </w:rPr>
      </w:pPr>
      <w:r w:rsidRPr="00B33E10">
        <w:rPr>
          <w:color w:val="auto"/>
        </w:rPr>
        <w:lastRenderedPageBreak/>
        <w:t>A</w:t>
      </w:r>
      <w:r w:rsidR="00B33E10" w:rsidRPr="00B33E10">
        <w:rPr>
          <w:color w:val="auto"/>
        </w:rPr>
        <w:t>N ACT</w:t>
      </w:r>
      <w:r w:rsidRPr="00B33E10">
        <w:rPr>
          <w:color w:val="auto"/>
        </w:rPr>
        <w:t xml:space="preserve"> </w:t>
      </w:r>
      <w:r w:rsidR="00B33E10" w:rsidRPr="00B33E10">
        <w:rPr>
          <w:color w:val="auto"/>
        </w:rPr>
        <w:t>to amend and reenact §17C-13-6 of the Code of West Virginia, 1931, as amended, and to amend the Code by adding thereto a new section, designated §17A3-15a, relating to free parking for certain individuals; prohibiting public entities from requiring certain persons with a mobility impairment who are unable to walk from having to pay for accessible parking at parking meters that are inaccessible; defining terms; specifying parameters of prohibition and entitlement for payment exemption; making penalty of false swearing applicable for false certification of inability to access parking meter without unreasonable effort; prohibiting citations; providing for prima facie evidence; providing disabled veterans and veterans who received the Purple Heart may park free at metered parking spaces at any municipality in the state.</w:t>
      </w:r>
    </w:p>
    <w:p w14:paraId="72B2EE62" w14:textId="77777777" w:rsidR="00303684" w:rsidRPr="00B33E10" w:rsidRDefault="00303684" w:rsidP="0056242A">
      <w:pPr>
        <w:pStyle w:val="EnactingClause"/>
        <w:rPr>
          <w:color w:val="auto"/>
        </w:rPr>
        <w:sectPr w:rsidR="00303684" w:rsidRPr="00B33E10" w:rsidSect="008F3608">
          <w:pgSz w:w="12240" w:h="15840" w:code="1"/>
          <w:pgMar w:top="1440" w:right="1440" w:bottom="1440" w:left="1440" w:header="720" w:footer="720" w:gutter="0"/>
          <w:lnNumType w:countBy="1" w:restart="newSection"/>
          <w:pgNumType w:start="0"/>
          <w:cols w:space="720"/>
          <w:titlePg/>
          <w:docGrid w:linePitch="360"/>
        </w:sectPr>
      </w:pPr>
      <w:r w:rsidRPr="00B33E10">
        <w:rPr>
          <w:color w:val="auto"/>
        </w:rPr>
        <w:t>Be it enacted by the Legislature of West Virginia:</w:t>
      </w:r>
    </w:p>
    <w:p w14:paraId="7F2A27F1" w14:textId="77777777" w:rsidR="00B33E10" w:rsidRPr="00B33E10" w:rsidRDefault="00B33E10" w:rsidP="0056242A">
      <w:pPr>
        <w:jc w:val="both"/>
        <w:rPr>
          <w:rFonts w:eastAsia="Aptos" w:cs="Arial"/>
          <w:b/>
          <w:bCs/>
          <w:color w:val="auto"/>
          <w:kern w:val="2"/>
          <w14:ligatures w14:val="standardContextual"/>
        </w:rPr>
      </w:pPr>
      <w:r w:rsidRPr="00B33E10">
        <w:rPr>
          <w:rFonts w:eastAsia="Aptos" w:cs="Arial"/>
          <w:b/>
          <w:bCs/>
          <w:color w:val="auto"/>
          <w:kern w:val="2"/>
          <w14:ligatures w14:val="standardContextual"/>
        </w:rPr>
        <w:t xml:space="preserve">ARTICLE 3. ORIGINAL AND RENEWAL OF REGISTRATION; ISSUANCE OF CERTIFICATES OF TITLE. </w:t>
      </w:r>
    </w:p>
    <w:p w14:paraId="0F4B5173" w14:textId="77777777" w:rsidR="00B33E10" w:rsidRPr="00B33E10" w:rsidRDefault="00B33E10" w:rsidP="0056242A">
      <w:pPr>
        <w:jc w:val="both"/>
        <w:rPr>
          <w:rFonts w:eastAsia="Aptos" w:cs="Arial"/>
          <w:b/>
          <w:bCs/>
          <w:color w:val="auto"/>
          <w:kern w:val="2"/>
          <w14:ligatures w14:val="standardContextual"/>
        </w:rPr>
        <w:sectPr w:rsidR="00B33E10" w:rsidRPr="00B33E10" w:rsidSect="00B33E10">
          <w:footerReference w:type="default" r:id="rId12"/>
          <w:type w:val="continuous"/>
          <w:pgSz w:w="12240" w:h="15840"/>
          <w:pgMar w:top="1440" w:right="1440" w:bottom="1440" w:left="1440" w:header="720" w:footer="720" w:gutter="0"/>
          <w:cols w:space="720"/>
          <w:docGrid w:linePitch="360"/>
        </w:sectPr>
      </w:pPr>
      <w:r w:rsidRPr="00B33E10">
        <w:rPr>
          <w:rFonts w:eastAsia="Aptos" w:cs="Arial"/>
          <w:b/>
          <w:bCs/>
          <w:color w:val="auto"/>
          <w:kern w:val="2"/>
          <w14:ligatures w14:val="standardContextual"/>
        </w:rPr>
        <w:t xml:space="preserve">§17A-3-15a. Free parking for disabled veterans and veterans awarded the purple heart.  </w:t>
      </w:r>
    </w:p>
    <w:p w14:paraId="578056DB" w14:textId="77777777" w:rsidR="00B33E10" w:rsidRPr="00B33E10" w:rsidRDefault="00B33E10" w:rsidP="0056242A">
      <w:pPr>
        <w:ind w:firstLine="720"/>
        <w:jc w:val="both"/>
        <w:rPr>
          <w:rFonts w:eastAsia="Aptos" w:cs="Arial"/>
          <w:color w:val="auto"/>
          <w:kern w:val="2"/>
          <w14:ligatures w14:val="standardContextual"/>
        </w:rPr>
      </w:pPr>
      <w:r w:rsidRPr="00B33E10">
        <w:rPr>
          <w:rFonts w:eastAsia="Aptos" w:cs="Arial"/>
          <w:color w:val="auto"/>
          <w:kern w:val="2"/>
          <w14:ligatures w14:val="standardContextual"/>
        </w:rPr>
        <w:t xml:space="preserve">Notwithstanding any provision of law to the contrary, any person who is a disabled veteran from the United States Armed Forces or who was awarded the Purple Heart, may park at any metered parking space in any municipality in this state without being required to deposit any sum of coins or currency into the meter: </w:t>
      </w:r>
      <w:r w:rsidRPr="0056242A">
        <w:rPr>
          <w:rFonts w:eastAsia="Aptos" w:cs="Arial"/>
          <w:i/>
          <w:color w:val="auto"/>
          <w:kern w:val="2"/>
          <w14:ligatures w14:val="standardContextual"/>
        </w:rPr>
        <w:t>Provided</w:t>
      </w:r>
      <w:r w:rsidRPr="00B33E10">
        <w:rPr>
          <w:rFonts w:eastAsia="Aptos" w:cs="Arial"/>
          <w:color w:val="auto"/>
          <w:kern w:val="2"/>
          <w14:ligatures w14:val="standardContextual"/>
        </w:rPr>
        <w:t>, That an appropriate designation must appear on the person's registration plate under the provisions of §17A-3-14 demonstrating that the person is a disabled veteran or was awarded the Purple Heart.</w:t>
      </w:r>
    </w:p>
    <w:p w14:paraId="71910498" w14:textId="77777777" w:rsidR="00B33E10" w:rsidRPr="00B33E10" w:rsidRDefault="00B33E10" w:rsidP="0056242A">
      <w:pPr>
        <w:ind w:firstLine="720"/>
        <w:jc w:val="both"/>
        <w:rPr>
          <w:rFonts w:eastAsia="Aptos" w:cs="Arial"/>
          <w:color w:val="auto"/>
          <w:kern w:val="2"/>
          <w14:ligatures w14:val="standardContextual"/>
        </w:rPr>
        <w:sectPr w:rsidR="00B33E10" w:rsidRPr="00B33E10" w:rsidSect="00B33E10">
          <w:footerReference w:type="default" r:id="rId13"/>
          <w:type w:val="continuous"/>
          <w:pgSz w:w="12240" w:h="15840"/>
          <w:pgMar w:top="1440" w:right="1440" w:bottom="1440" w:left="1440" w:header="720" w:footer="720" w:gutter="0"/>
          <w:lnNumType w:countBy="1" w:restart="newSection"/>
          <w:cols w:space="720"/>
          <w:docGrid w:linePitch="360"/>
        </w:sectPr>
      </w:pPr>
    </w:p>
    <w:p w14:paraId="636A30C8" w14:textId="77777777" w:rsidR="00B33E10" w:rsidRPr="00B33E10" w:rsidRDefault="00B33E10" w:rsidP="0056242A">
      <w:pPr>
        <w:suppressLineNumbers/>
        <w:ind w:left="720" w:hanging="720"/>
        <w:jc w:val="both"/>
        <w:outlineLvl w:val="1"/>
        <w:rPr>
          <w:rFonts w:eastAsia="Calibri" w:cs="Times New Roman"/>
          <w:b/>
          <w:caps/>
          <w:color w:val="auto"/>
          <w:sz w:val="24"/>
        </w:rPr>
        <w:sectPr w:rsidR="00B33E10" w:rsidRPr="00B33E10" w:rsidSect="00B33E10">
          <w:headerReference w:type="even" r:id="rId14"/>
          <w:headerReference w:type="default" r:id="rId15"/>
          <w:footerReference w:type="even" r:id="rId16"/>
          <w:footerReference w:type="default" r:id="rId17"/>
          <w:type w:val="continuous"/>
          <w:pgSz w:w="12240" w:h="15840" w:code="1"/>
          <w:pgMar w:top="1440" w:right="1440" w:bottom="1440" w:left="1440" w:header="720" w:footer="720" w:gutter="0"/>
          <w:lnNumType w:countBy="1" w:restart="newSection"/>
          <w:cols w:space="720"/>
          <w:docGrid w:linePitch="360"/>
        </w:sectPr>
      </w:pPr>
      <w:r w:rsidRPr="00B33E10">
        <w:rPr>
          <w:rFonts w:eastAsia="Calibri" w:cs="Times New Roman"/>
          <w:b/>
          <w:caps/>
          <w:color w:val="auto"/>
          <w:sz w:val="24"/>
        </w:rPr>
        <w:t>Article 13.  Stopping, standing, and parking.</w:t>
      </w:r>
    </w:p>
    <w:p w14:paraId="7BDE4258" w14:textId="77777777" w:rsidR="00B33E10" w:rsidRPr="00B33E10" w:rsidRDefault="00B33E10" w:rsidP="0056242A">
      <w:pPr>
        <w:suppressLineNumbers/>
        <w:ind w:left="720" w:hanging="720"/>
        <w:jc w:val="both"/>
        <w:outlineLvl w:val="3"/>
        <w:rPr>
          <w:rFonts w:eastAsia="Calibri" w:cs="Times New Roman"/>
          <w:b/>
          <w:color w:val="000000"/>
        </w:rPr>
        <w:sectPr w:rsidR="00B33E10" w:rsidRPr="00B33E10" w:rsidSect="00B33E10">
          <w:footerReference w:type="default" r:id="rId18"/>
          <w:type w:val="continuous"/>
          <w:pgSz w:w="12240" w:h="15840" w:code="1"/>
          <w:pgMar w:top="1440" w:right="1440" w:bottom="1440" w:left="1440" w:header="720" w:footer="720" w:gutter="0"/>
          <w:lnNumType w:countBy="1" w:restart="newSection"/>
          <w:cols w:space="720"/>
          <w:docGrid w:linePitch="360"/>
        </w:sectPr>
      </w:pPr>
      <w:r w:rsidRPr="00B33E10">
        <w:rPr>
          <w:rFonts w:eastAsia="Calibri" w:cs="Times New Roman"/>
          <w:b/>
          <w:color w:val="000000"/>
        </w:rPr>
        <w:t>§17C-13-6. Stopping, standing, or parking privileges for persons with a mobility impairment; disabled veterans; definitions; qualification; special registration plates and removable windshield placards; expiration, application; violation; penalties.</w:t>
      </w:r>
    </w:p>
    <w:p w14:paraId="18A41412"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 xml:space="preserve">(a)(1) The commissioner may issue up to two special registration plates or removable windshield placards to a person with a mobility impairment or a West Virginia organization which </w:t>
      </w:r>
      <w:r w:rsidRPr="00B33E10">
        <w:rPr>
          <w:rFonts w:eastAsia="Calibri" w:cs="Times New Roman"/>
          <w:color w:val="000000"/>
        </w:rPr>
        <w:lastRenderedPageBreak/>
        <w:t>transports persons with disabilities and facilitates the mobility of its customers, patients, students, or persons otherwise placed under its responsibility.</w:t>
      </w:r>
    </w:p>
    <w:p w14:paraId="69A2B1CE" w14:textId="78315894" w:rsidR="00B33E10" w:rsidRPr="00B33E10" w:rsidRDefault="00B33E10" w:rsidP="0056242A">
      <w:pPr>
        <w:ind w:firstLine="720"/>
        <w:jc w:val="both"/>
        <w:rPr>
          <w:rFonts w:eastAsia="Calibri" w:cs="Times New Roman"/>
          <w:color w:val="000000"/>
        </w:rPr>
      </w:pPr>
      <w:r w:rsidRPr="00B33E10">
        <w:rPr>
          <w:rFonts w:eastAsia="Calibri" w:cs="Times New Roman"/>
          <w:color w:val="000000"/>
        </w:rPr>
        <w:t>(2) Special registration plates or placards may only be issued for placement on a Class A or Class G motor vehicle registered under the provisions of §17A-3-1</w:t>
      </w:r>
      <w:r w:rsidR="0056242A" w:rsidRPr="0056242A">
        <w:rPr>
          <w:rFonts w:eastAsia="Calibri" w:cs="Times New Roman"/>
          <w:i/>
          <w:color w:val="000000"/>
        </w:rPr>
        <w:t xml:space="preserve"> et seq. </w:t>
      </w:r>
      <w:r w:rsidRPr="00B33E10">
        <w:rPr>
          <w:rFonts w:eastAsia="Calibri" w:cs="Times New Roman"/>
          <w:color w:val="000000"/>
        </w:rPr>
        <w:t>of this code.</w:t>
      </w:r>
    </w:p>
    <w:p w14:paraId="218C1FAD"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(3) The applicant shall specify whether he or she is applying for a special registration plate, a removable windshield placard, or both on the application form prescribed and furnished by the commissioner.</w:t>
      </w:r>
    </w:p>
    <w:p w14:paraId="17A802A5"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(4) The applicant shall submit, with the application, a certificate issued by any physician, chiropractor, advanced nurse practitioner, or physician’s assistant who is licensed in this state, stating that the applicant has a mobility impairment, or that the applicant is an organization which regularly transports a person with a mobility impairment as defined in this section. The physician, chiropractor, advanced nurse practitioner, or physician’s assistant shall specify in the certificate whether the disability is temporary or permanent. A disability which is temporary is one expected to last for a limited duration and improve during the applicant’s life. A disability which is permanent is one which is expected to last during the duration of the applicant’s life.</w:t>
      </w:r>
    </w:p>
    <w:p w14:paraId="237A42C5"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 xml:space="preserve">(5) Upon receipt of the completed application, the physician’s certificate, and the regular registration fee for the applicant’s vehicle class, if the commissioner finds that the applicant qualifies for the special registration plate or a removable windshield placard as provided in this section, he or she shall issue to the applicant a special registration plate (upon remittance of the regular registration fee) or a removable windshield placard (red for temporary and blue for permanent), or both. Upon request, the commissioner shall also issue to any otherwise qualified applicant one additional placard having the same expiration date as the applicant’s original placard. The placard shall be displayed by hanging it from the interior rearview mirror of the motor vehicle so that it is conspicuously visible from outside the vehicle when parked in a designated accessible parking space. The placard may be removed from the rearview mirror whenever the vehicle is being operated to ensure clear vision and safe driving. Only in the event that there is </w:t>
      </w:r>
      <w:r w:rsidRPr="00B33E10">
        <w:rPr>
          <w:rFonts w:eastAsia="Calibri" w:cs="Times New Roman"/>
          <w:color w:val="000000"/>
        </w:rPr>
        <w:lastRenderedPageBreak/>
        <w:t>no suitable rearview mirror in the vehicle may the placard be displayed on the dashboard of the vehicle.</w:t>
      </w:r>
    </w:p>
    <w:p w14:paraId="24603657"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(6) Organizations which transport people with disabilities will be provided with a placard which will permit them to park in a designated area for the length of time necessary to load and unload passengers. These vehicles must be moved to a nondesignated space once the loading or unloading process is complete.</w:t>
      </w:r>
    </w:p>
    <w:p w14:paraId="1A1178FB"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(b) As used in this section, the following terms have the meanings ascribed to them in this subsection:</w:t>
      </w:r>
    </w:p>
    <w:p w14:paraId="2B5AF2B4"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(1) A person or applicant with a "mobility impairment" means a person who is a citizen of West Virginia and as determined by a physician, allopath or osteopath, chiropractor, advanced nurse practitioner, or physician’s assistant licensed to practice in West Virginia:</w:t>
      </w:r>
    </w:p>
    <w:p w14:paraId="5B1D9BBC"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(A) Cannot walk 200 feet without stopping to rest;</w:t>
      </w:r>
    </w:p>
    <w:p w14:paraId="19EC6BEB"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(B) Cannot walk without the use of or assistance from a brace, cane, crutch, prosthetic device, wheelchair, other assistive device, or another person;</w:t>
      </w:r>
    </w:p>
    <w:p w14:paraId="1DF4CA13"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(C) Is restricted by lung disease to such an extent that the person’s force (respiratory) expiratory volume for one second, when measured by spirometry, is less than one liter or the arterial oxygen tension is less than 60 mm/hg on room air at rest;</w:t>
      </w:r>
    </w:p>
    <w:p w14:paraId="52F8FB1D"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(D) Uses portable oxygen;</w:t>
      </w:r>
    </w:p>
    <w:p w14:paraId="34C67AED"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(E) Has a cardiac condition to such an extent that the person’s functional limitations are classified in severity as Class III or Class IV according to standards established by the American Heart Association; or</w:t>
      </w:r>
    </w:p>
    <w:p w14:paraId="3D66A572" w14:textId="467B3D4A" w:rsidR="00B33E10" w:rsidRPr="00B33E10" w:rsidRDefault="00B33E10" w:rsidP="0056242A">
      <w:pPr>
        <w:ind w:firstLine="720"/>
        <w:jc w:val="both"/>
        <w:rPr>
          <w:rFonts w:eastAsia="Calibri" w:cs="Times New Roman"/>
          <w:color w:val="000000"/>
        </w:rPr>
      </w:pPr>
      <w:r w:rsidRPr="00B33E10">
        <w:rPr>
          <w:rFonts w:eastAsia="Calibri" w:cs="Times New Roman"/>
          <w:color w:val="000000"/>
        </w:rPr>
        <w:t>(F) Is severely limited in his or her ability to walk because of an arthritic, neurological, or other orthopedic condition</w:t>
      </w:r>
      <w:r w:rsidR="00CE0D26">
        <w:rPr>
          <w:rFonts w:eastAsia="Calibri" w:cs="Times New Roman"/>
          <w:color w:val="000000"/>
        </w:rPr>
        <w:t>.</w:t>
      </w:r>
    </w:p>
    <w:p w14:paraId="25E5EDF8"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 xml:space="preserve">(2) "Special registration plate" means a registration plate that displays the international symbol of access, as adopted by the Rehabilitation International Organization in 1969 at its Eleventh World Congress on Rehabilitation of the Disabled, in a color that contrasts with the </w:t>
      </w:r>
      <w:r w:rsidRPr="00B33E10">
        <w:rPr>
          <w:rFonts w:eastAsia="Calibri" w:cs="Times New Roman"/>
          <w:color w:val="000000"/>
        </w:rPr>
        <w:lastRenderedPageBreak/>
        <w:t>background, in letters and numbers the same size as those on the plate, and which may be used in lieu of a regular registration plate;</w:t>
      </w:r>
    </w:p>
    <w:p w14:paraId="00E6F79F"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(3) "Removable windshield placard" (permanent or temporary) means a two-sided, hanger-style placard measuring three inches by nine and one-half inches, with all of the following on each side:</w:t>
      </w:r>
    </w:p>
    <w:p w14:paraId="37B64EE7"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(A) The international symbol of access, measuring at least three inches in height, centered on the placard, in white on a blue background for permanent designations and in white on a red background for temporary designations;</w:t>
      </w:r>
    </w:p>
    <w:p w14:paraId="67FDB9FA"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(B) An identification number measuring one inch in height;</w:t>
      </w:r>
    </w:p>
    <w:p w14:paraId="0BD48AC2"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(C) An expiration date in numbers measuring one inch in height for a temporary placard; and</w:t>
      </w:r>
    </w:p>
    <w:p w14:paraId="73DBED45" w14:textId="50861B00" w:rsidR="00B33E10" w:rsidRPr="00B33E10" w:rsidRDefault="00B33E10" w:rsidP="0056242A">
      <w:pPr>
        <w:ind w:firstLine="720"/>
        <w:jc w:val="both"/>
        <w:rPr>
          <w:rFonts w:eastAsia="Calibri" w:cs="Times New Roman"/>
          <w:color w:val="000000"/>
        </w:rPr>
      </w:pPr>
      <w:r w:rsidRPr="00B33E10">
        <w:rPr>
          <w:rFonts w:eastAsia="Calibri" w:cs="Times New Roman"/>
          <w:color w:val="000000"/>
        </w:rPr>
        <w:t>(D) The seal or other identifying symbol of the issuing authority</w:t>
      </w:r>
      <w:r w:rsidR="00CE0D26">
        <w:rPr>
          <w:rFonts w:eastAsia="Calibri" w:cs="Times New Roman"/>
          <w:color w:val="000000"/>
        </w:rPr>
        <w:t>.</w:t>
      </w:r>
    </w:p>
    <w:p w14:paraId="572A6421"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(4) "Regular registration fee" means the standard registration fee for a vehicle of the same class as the applicant’s vehicle;</w:t>
      </w:r>
    </w:p>
    <w:p w14:paraId="10502DC4"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(5) "Public entity" means state or local government or any department, agency, special purpose district, or other instrumentality of a state or local government;</w:t>
      </w:r>
    </w:p>
    <w:p w14:paraId="6EF881A1"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(6) "Public facility" means all or any part of any buildings, structures, sites, complexes, roads, parking lots, or other real or personal property, including the site where the facility is located;</w:t>
      </w:r>
    </w:p>
    <w:p w14:paraId="4E91FDFD"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(7) "Place or places of public accommodation" means a facility or facilities operated by a private entity whose operations affect commerce and fall within at least one of the following categories:</w:t>
      </w:r>
    </w:p>
    <w:p w14:paraId="51C9C088"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(A) Inns, hotels, motels, and other places of lodging;</w:t>
      </w:r>
    </w:p>
    <w:p w14:paraId="43EBF148"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(B) Restaurants, bars, or other establishments serving food or drink;</w:t>
      </w:r>
    </w:p>
    <w:p w14:paraId="4D9422C2"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(C) Motion picture houses, theaters, concert halls, stadiums, or other places of exhibition or entertainment;</w:t>
      </w:r>
    </w:p>
    <w:p w14:paraId="470650E1"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lastRenderedPageBreak/>
        <w:t>(D) Auditoriums, convention centers, lecture halls, or other places of public gatherings;</w:t>
      </w:r>
    </w:p>
    <w:p w14:paraId="5859B0DD"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(E) Bakeries, grocery stores, clothing stores, hardware stores, shopping centers, or other sales or rental establishments;</w:t>
      </w:r>
    </w:p>
    <w:p w14:paraId="03E2E20F"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(F) Laundromats, dry cleaners, banks, barber and beauty shops, travel agencies, shoe repair shops, funeral parlors, gas or service stations, offices of accountants and attorneys, pharmacies, insurance offices, offices of professional health care providers, hospitals, or other service establishments;</w:t>
      </w:r>
    </w:p>
    <w:p w14:paraId="32070FC6"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(G) Terminals, depots, or other stations used for public transportation;</w:t>
      </w:r>
    </w:p>
    <w:p w14:paraId="53F4ECDB"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(H) Museums, libraries, galleries, or other places of public display or collection;</w:t>
      </w:r>
    </w:p>
    <w:p w14:paraId="762F63CC"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(I) Parks, zoos, amusement parks, or other places of recreation;</w:t>
      </w:r>
    </w:p>
    <w:p w14:paraId="13148BF0"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(J) Public or private nursery, elementary, secondary, undergraduate, or post-graduate schools or other places of learning and day care centers, senior citizen centers, homeless shelters, food banks, adoption agencies, or other social services establishments; and</w:t>
      </w:r>
    </w:p>
    <w:p w14:paraId="16492F5C" w14:textId="324F36ED" w:rsidR="00B33E10" w:rsidRPr="00B33E10" w:rsidRDefault="00B33E10" w:rsidP="0056242A">
      <w:pPr>
        <w:ind w:firstLine="720"/>
        <w:jc w:val="both"/>
        <w:rPr>
          <w:rFonts w:eastAsia="Calibri" w:cs="Times New Roman"/>
          <w:color w:val="000000"/>
        </w:rPr>
      </w:pPr>
      <w:r w:rsidRPr="00B33E10">
        <w:rPr>
          <w:rFonts w:eastAsia="Calibri" w:cs="Times New Roman"/>
          <w:color w:val="000000"/>
        </w:rPr>
        <w:t>(K) Gymnasiums, health spas, bowling alleys, golf courses, or other places of exercise or recreation</w:t>
      </w:r>
      <w:r w:rsidR="00334C0F">
        <w:rPr>
          <w:rFonts w:eastAsia="Calibri" w:cs="Times New Roman"/>
          <w:color w:val="000000"/>
        </w:rPr>
        <w:t>.</w:t>
      </w:r>
    </w:p>
    <w:p w14:paraId="10AAA69B"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(8) "Commercial facility" means a facility whose operations affect commerce and which are intended for nonresidential use by a private entity;</w:t>
      </w:r>
    </w:p>
    <w:p w14:paraId="7DC6350A"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(9) "Accessible parking" formerly known as "handicapped parking" is the present phrase consistent with language within the Americans with Disabilities Act (ADA);</w:t>
      </w:r>
    </w:p>
    <w:p w14:paraId="37EDAB55"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(10) "Parking enforcement personnel" includes any law-enforcement officer as defined by §30-29-1 of this code, and private security guards, parking personnel, and other personnel authorized by a city, county, or the state to issue parking citations.</w:t>
      </w:r>
    </w:p>
    <w:p w14:paraId="33D2A888"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 xml:space="preserve">Any person who falsely or fraudulently obtains or seeks to obtain the special plate or the removable windshield placard provided for in this section, and any person who falsely certifies that a person is mobility impaired in order that an applicant may be issued the special registration plate or windshield placard under this section is guilty of a misdemeanor and, upon conviction </w:t>
      </w:r>
      <w:r w:rsidRPr="00B33E10">
        <w:rPr>
          <w:rFonts w:eastAsia="Calibri" w:cs="Times New Roman"/>
          <w:color w:val="000000"/>
        </w:rPr>
        <w:lastRenderedPageBreak/>
        <w:t>thereof, in addition to any other penalty he or she may otherwise incur, shall be fined $500. Any person who fabricates, uses, or sells unofficially issued windshield placards to any person or organization is committing a fraudulent act and is guilty of a misdemeanor and, upon conviction thereof, in addition to any other penalty he or she may otherwise incur, shall be fined $500 per placard fabricated, used, or sold. Any person who fabricates, uses, or sells unofficially issued identification cards to any person or organization is committing a fraudulent act and is guilty of a misdemeanor and, upon conviction thereof, in addition to any other penalty he or she may otherwise incur, shall be fined $700 per identification card fabricated, used, or sold. Any person who fabricates, uses, or sells unofficially issued labels imprinted with a future expiration date to any person or organization is committing a fraudulent act and is guilty of a misdemeanor and, upon conviction thereof, in addition to any other penalty he or she may otherwise incur, shall be fined $700. Any person covered by this section who sells or gives away their officially issued windshield placard to any person or organization not qualified to apply for or receive the placard and then reapplies for a new placard on the basis it was stolen is committing a fraudulent act and is guilty of a misdemeanor and, upon conviction thereof, in addition to any other penalty he or she, or they may otherwise incur, shall lose their right to receive or use a special placard or special license plate for a period of not less than five years.</w:t>
      </w:r>
    </w:p>
    <w:p w14:paraId="33983C47"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 xml:space="preserve">(c) The commissioner shall set the expiration date for special registration plates on the last day of a given month and year, to be valid for a minimum of one year but not more than five years, after which time a new application must be submitted to the commissioner. After the commissioner receives the new application, signed by a certified physician, chiropractor, advanced nurse practitioner, or physician’s assistant if required under this subsection, the commissioner shall issue: (i) A new special registration plate or new permanent or temporary removable windshield placard; or (ii) official labels imprinted with the new expiration date and designed so as to be placed over the old dates on the original registration plate or windshield placard: </w:t>
      </w:r>
      <w:r w:rsidRPr="0056242A">
        <w:rPr>
          <w:rFonts w:eastAsia="Calibri" w:cs="Times New Roman"/>
          <w:i/>
          <w:iCs/>
          <w:color w:val="000000"/>
        </w:rPr>
        <w:t>Provided</w:t>
      </w:r>
      <w:r w:rsidRPr="00B33E10">
        <w:rPr>
          <w:rFonts w:eastAsia="Calibri" w:cs="Times New Roman"/>
          <w:color w:val="000000"/>
        </w:rPr>
        <w:t xml:space="preserve">, That a new application under this subsection must not be accompanied by a </w:t>
      </w:r>
      <w:r w:rsidRPr="00B33E10">
        <w:rPr>
          <w:rFonts w:eastAsia="Calibri" w:cs="Times New Roman"/>
          <w:color w:val="000000"/>
        </w:rPr>
        <w:lastRenderedPageBreak/>
        <w:t>certificate pursuant to §17C-13-6(a)(4) of this code if a prior application is on file with the commissioner, such application includes a certificate issued pursuant to §17C-13-6(a)(4) of this code, such certificate specifies that the applicant’s disability is permanent for life, and such certificate was made within 10 years of the new application.</w:t>
      </w:r>
    </w:p>
    <w:p w14:paraId="724D4595"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(d) The commissioner shall set the expiration date of temporary removable windshield placards to be valid for a period of approximately six months after the application was received and approved by the commissioner. Permanent removable windshield placards are valid for the duration of the applicant’s life.</w:t>
      </w:r>
    </w:p>
    <w:p w14:paraId="19736482"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(e) The commissioner shall issue to each applicant who is granted a special registration plate or windshield placard an identification card bearing the applicant’s name, assigned identification number, and expiration date. The applicant shall thereafter carry this identification card on his or her person whenever parking in an accessible parking space. The identification card shall be identical in design for both registration plates and removable windshield placards.</w:t>
      </w:r>
    </w:p>
    <w:p w14:paraId="7AE3A0F8"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(f) An accessible parking space should comply with the provisions of the Americans with Disabilities Act accessibility guidelines, contained in 28 C.F.R. 36, Appendix A, Section 4.6. In particular, the parking space should be a minimum of eight feet wide with an adjacent eight-foot access aisle for vans having side mounted hydraulic lifts or ramps, or a five-foot access aisle for standard vehicles. Access aisles should be marked using diagonal two- to four-inch-wide stripes spaced every 12 or 24 inches apart along with the words "no parking" in painted letters which are at least 12 inches in height. All accessible parking spaces must have a signpost in front or adjacent to the accessible parking space displaying the international symbol of access sign mounted at a minimum of eight feet above the pavement or sidewalk and the top of the sign. Lines or markings on the pavement or curbs for parking spaces and access aisles may be in any color, although blue is the generally accepted color for accessible parking.</w:t>
      </w:r>
    </w:p>
    <w:p w14:paraId="09A350D2"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lastRenderedPageBreak/>
        <w:t>(g) A vehicle displaying a disabled veterans special registration plate issued pursuant to §17A-3-14(c)(6) of this code shall be recognized and accepted as meeting the requirements of this section.</w:t>
      </w:r>
    </w:p>
    <w:p w14:paraId="59602C2E"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(h) A vehicle from any other state, United States territory, or foreign country displaying an officially issued special registration plate, placard, or decal bearing the international symbol of access shall be recognized and accepted as meeting the requirements of this section, regardless of where the plate, placard, or decal is mounted or displayed on the vehicle.</w:t>
      </w:r>
    </w:p>
    <w:p w14:paraId="598BBAC6"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(i) Stopping, standing, or parking places marked with the international symbol of access shall be designated in close proximity to all public entities, including state, county, and municipal buildings and facilities, places of public accommodation, and commercial facilities. These parking places shall be reserved solely for persons with a mobility impairment and disabled veterans at all times.</w:t>
      </w:r>
    </w:p>
    <w:p w14:paraId="60892481"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(j) Any person whose vehicle properly displays a valid, unexpired special registration plate or removable windshield placard may park the vehicle for unlimited periods of time in parking zones unrestricted as to length of parking time permitted:</w:t>
      </w:r>
      <w:r w:rsidRPr="00B33E10">
        <w:rPr>
          <w:rFonts w:eastAsia="Calibri" w:cs="Times New Roman"/>
          <w:iCs/>
          <w:color w:val="000000"/>
        </w:rPr>
        <w:t xml:space="preserve"> </w:t>
      </w:r>
      <w:r w:rsidRPr="0056242A">
        <w:rPr>
          <w:rFonts w:eastAsia="Calibri" w:cs="Times New Roman"/>
          <w:i/>
          <w:color w:val="000000"/>
        </w:rPr>
        <w:t>Provided</w:t>
      </w:r>
      <w:r w:rsidRPr="00B33E10">
        <w:rPr>
          <w:rFonts w:eastAsia="Calibri" w:cs="Times New Roman"/>
          <w:color w:val="000000"/>
        </w:rPr>
        <w:t>, That this privilege does not mean that the vehicle may park in any zone where stopping, standing, or parking is prohibited or which creates parking zones for special types of vehicles or which prohibits parking during heavy traffic periods during specified rush hours or where parking would clearly present a traffic hazard. To the extent any provision of any ordinance of any political subdivision of this state is contrary to the provisions of this section, the provisions of this section take precedence and apply.</w:t>
      </w:r>
    </w:p>
    <w:p w14:paraId="084A5C42"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 xml:space="preserve">The parking privileges provided for in this subsection apply only during those times when the vehicle is being used for the loading or unloading of a person with a mobility impairment. Any person who knowingly exercises, or attempts to exercise, these privileges at a time when the vehicle is not being used for the loading or unloading of a person with a mobility impairment is guilty of a misdemeanor and, upon first conviction thereof, in addition to any other penalty he or she may otherwise incur, shall be fined $200; upon second conviction thereof, in addition to any </w:t>
      </w:r>
      <w:r w:rsidRPr="00B33E10">
        <w:rPr>
          <w:rFonts w:eastAsia="Calibri" w:cs="Times New Roman"/>
          <w:color w:val="000000"/>
        </w:rPr>
        <w:lastRenderedPageBreak/>
        <w:t>other penalty he or she may otherwise incur, shall be fined $300; and upon third and subsequent convictions thereof, in addition to any other penalty he or she may otherwise incur, shall be fined $500.</w:t>
      </w:r>
    </w:p>
    <w:p w14:paraId="27C1F8F7"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(k) Any person whose vehicle does not display a valid, special registration plate or removable windshield placard may not stop, stand, or park a motor vehicle in an area designated, zoned, or marked for accessible parking with signs or instructions displaying the international symbol of access, either by itself or with explanatory text. The signs may be mounted on a post or a wall in front of the accessible parking space and instructions may appear on the ground or pavement, but use of both methods is preferred. Accessible parking spaces for vans having an eight-foot adjacent access aisle should be designated as "van accessible" but may be used by any vehicle displaying a valid special registration plate or removable windshield placard.</w:t>
      </w:r>
    </w:p>
    <w:p w14:paraId="5778DCEB"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Any person who violates the provisions of this subsection is guilty of a misdemeanor and, upon conviction thereof, shall be fined $200; upon second conviction thereof, in addition to any other penalty he or she may otherwise incur, shall be fined $300; and upon third and subsequent convictions thereof, in addition to any other penalty he or she may otherwise incur, shall be fined $500.</w:t>
      </w:r>
    </w:p>
    <w:p w14:paraId="52BFFE42"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(l) All signs that designate areas as "accessible parking" or that display the international symbol of access shall also include the words "up to $500 fine".</w:t>
      </w:r>
    </w:p>
    <w:p w14:paraId="2A8A107B"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(m) No person may stop, stand, or park a motor vehicle in an area designated or marked off as an access aisle adjacent to a van-accessible parking space or regular accessible parking space. Any person, including a driver of a vehicle displaying a valid removable windshield placard or special registration plate, who violates the provisions of this subsection is guilty of a misdemeanor and, upon conviction thereof, shall be fined $200; upon second conviction thereof, in addition to any other penalty he or she may otherwise incur, shall be fined $300; and upon third and subsequent convictions thereof, in addition to any other penalty he or she may otherwise incur, shall be fined $500.</w:t>
      </w:r>
    </w:p>
    <w:p w14:paraId="0DA704BF"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lastRenderedPageBreak/>
        <w:t>(n) Parking enforcement personnel who otherwise enforce parking violations may issue citations for violations of this section and shall reference the number on the vehicle’s license plate, since the driver normally will not be present.</w:t>
      </w:r>
    </w:p>
    <w:p w14:paraId="5B6DC07E"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(o) Law-enforcement agencies may establish a program to use trained volunteers to collect information necessary to issue citations to persons who illegally park in designated accessible parking spaces. Any law-enforcement agency choosing to establish a program shall provide for workers’ compensation and liability coverage. The volunteers shall photograph the illegally parked vehicle and complete a form, to be developed by supervising law-enforcement agencies, that includes the vehicle’s license plate number, date, time, and location of the illegally parked vehicle. The photographs must show the vehicle in the accessible space and a readable view of the license plate. Within the discretion of the supervising law-enforcement agency, the volunteers may issue citations or the volunteers may submit the photographs of the illegally parked vehicle and the form to the supervising law-enforcement agency, who may issue a citation, which includes the photographs and the form, to the owner of the illegally parked vehicle. Volunteers shall be trained on the requirements for citations for vehicles parked in marked, zoned, or designated accessible parking areas by the supervising law-enforcement agency.</w:t>
      </w:r>
    </w:p>
    <w:p w14:paraId="1C7E88F4"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(p) Local authorities who adopt the basic enforcement provisions of this section and issue their own local ordinances shall retain all fines and associated late fees. These revenues shall be used first to fund the provisions of subsection (o) of this section, if adopted by local authorities, or otherwise shall go into the local authorities’ General Revenue Fund. Otherwise, any moneys collected as fines shall be collected for and remitted to the state.</w:t>
      </w:r>
    </w:p>
    <w:p w14:paraId="3D58B0B0"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 xml:space="preserve">(q) The commissioner shall prepare and issue a document to applicants describing the privileges accorded a vehicle having a special registration plate and removable windshield placard as well as the penalties when the vehicle is being inappropriately used as described in this section and shall include the document along with the issued special registration plate or windshield placard. In addition, the commissioner shall issue a separate document informing the general </w:t>
      </w:r>
      <w:r w:rsidRPr="00B33E10">
        <w:rPr>
          <w:rFonts w:eastAsia="Calibri" w:cs="Times New Roman"/>
          <w:color w:val="000000"/>
        </w:rPr>
        <w:lastRenderedPageBreak/>
        <w:t>public regarding the new provisions and increased fines being imposed either by way of newspaper announcements or other appropriate means across the state.</w:t>
      </w:r>
    </w:p>
    <w:p w14:paraId="0E7F24AF" w14:textId="210D72EB" w:rsidR="00B33E10" w:rsidRPr="00B33E10" w:rsidRDefault="00B33E10" w:rsidP="0056242A">
      <w:pPr>
        <w:ind w:firstLine="720"/>
        <w:jc w:val="both"/>
        <w:rPr>
          <w:rFonts w:eastAsia="Calibri" w:cs="Times New Roman"/>
          <w:color w:val="000000"/>
        </w:rPr>
      </w:pPr>
      <w:r w:rsidRPr="00B33E10">
        <w:rPr>
          <w:rFonts w:eastAsia="Calibri" w:cs="Times New Roman"/>
          <w:color w:val="000000"/>
        </w:rPr>
        <w:t>(r) The commissioner shall propose rules for legislative approval in accordance with the provisions of §29A-3-1</w:t>
      </w:r>
      <w:r w:rsidR="0056242A" w:rsidRPr="0056242A">
        <w:rPr>
          <w:rFonts w:eastAsia="Calibri" w:cs="Times New Roman"/>
          <w:i/>
          <w:color w:val="000000"/>
        </w:rPr>
        <w:t xml:space="preserve"> et seq. </w:t>
      </w:r>
      <w:r w:rsidRPr="00B33E10">
        <w:rPr>
          <w:rFonts w:eastAsia="Calibri" w:cs="Times New Roman"/>
          <w:color w:val="000000"/>
        </w:rPr>
        <w:t>of this code.</w:t>
      </w:r>
    </w:p>
    <w:p w14:paraId="3EAF11C2"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 xml:space="preserve">(s)(1) </w:t>
      </w:r>
      <w:bookmarkStart w:id="0" w:name="_Hlk192774879"/>
      <w:r w:rsidRPr="00B33E10">
        <w:rPr>
          <w:rFonts w:eastAsia="Calibri" w:cs="Times New Roman"/>
          <w:color w:val="000000"/>
        </w:rPr>
        <w:t>A public entity may not require a person to pay for parking a vehicle in an accessible parking space with a parking meter if the following requirements are met:</w:t>
      </w:r>
    </w:p>
    <w:p w14:paraId="5D49248E"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(A) The vehicle displays a special registration plate or placard that entitles the person to park in an accessible parking space pursuant to this section;</w:t>
      </w:r>
    </w:p>
    <w:p w14:paraId="5A0C36B3"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(B) The driver has a mobility impairment and is unable to walk;</w:t>
      </w:r>
    </w:p>
    <w:p w14:paraId="219B4613"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(C) The parking meter is not accessible to the driver while sitting in a wheelchair or without traveling more than 30 feet from the parked vehicle; and</w:t>
      </w:r>
    </w:p>
    <w:p w14:paraId="5CDC0098"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 xml:space="preserve">(D) The parked vehicle displays an unexpired parking certification </w:t>
      </w:r>
      <w:bookmarkEnd w:id="0"/>
      <w:r w:rsidRPr="00B33E10">
        <w:rPr>
          <w:rFonts w:eastAsia="Calibri" w:cs="Times New Roman"/>
          <w:color w:val="000000"/>
        </w:rPr>
        <w:t xml:space="preserve">that is plainly visible with pertinent information through its windshield. For purposes of this subsection, “parking certification” means a letter completed by a </w:t>
      </w:r>
      <w:bookmarkStart w:id="1" w:name="_Hlk192774961"/>
      <w:r w:rsidRPr="00B33E10">
        <w:rPr>
          <w:rFonts w:eastAsia="Calibri" w:cs="Times New Roman"/>
          <w:color w:val="000000"/>
        </w:rPr>
        <w:t xml:space="preserve">licensed medical provider </w:t>
      </w:r>
      <w:bookmarkEnd w:id="1"/>
      <w:r w:rsidRPr="00B33E10">
        <w:rPr>
          <w:rFonts w:eastAsia="Calibri" w:cs="Times New Roman"/>
          <w:color w:val="000000"/>
        </w:rPr>
        <w:t xml:space="preserve">on the provider’s letterhead that is titled “Parking Certification pursuant to W.Va. Code §17C-13-6(s)” and </w:t>
      </w:r>
      <w:bookmarkStart w:id="2" w:name="_Hlk192774975"/>
      <w:r w:rsidRPr="00B33E10">
        <w:rPr>
          <w:rFonts w:eastAsia="Calibri" w:cs="Times New Roman"/>
          <w:color w:val="000000"/>
        </w:rPr>
        <w:t>that certifies that the person is physically able to drive but unable to walk</w:t>
      </w:r>
      <w:bookmarkEnd w:id="2"/>
      <w:r w:rsidRPr="00B33E10">
        <w:rPr>
          <w:rFonts w:eastAsia="Calibri" w:cs="Times New Roman"/>
          <w:color w:val="000000"/>
        </w:rPr>
        <w:t xml:space="preserve">, which means for purposes of this subsection that the person cannot </w:t>
      </w:r>
      <w:bookmarkStart w:id="3" w:name="_Hlk192775872"/>
      <w:r w:rsidRPr="00B33E10">
        <w:rPr>
          <w:rFonts w:eastAsia="Calibri" w:cs="Times New Roman"/>
          <w:color w:val="000000"/>
        </w:rPr>
        <w:t>ambulate without the aid of a wheelchair</w:t>
      </w:r>
      <w:bookmarkEnd w:id="3"/>
      <w:r w:rsidRPr="00B33E10">
        <w:rPr>
          <w:rFonts w:eastAsia="Calibri" w:cs="Times New Roman"/>
          <w:color w:val="000000"/>
        </w:rPr>
        <w:t xml:space="preserve">. Such letter shall specify whether the inability to walk is permanent or temporary. If the inability to walk is temporary, the letter shall include the date on which such temporary disability is anticipated to end, and the letter may not be displayed in a windshield after such date. </w:t>
      </w:r>
    </w:p>
    <w:p w14:paraId="7F0FC22C" w14:textId="77777777" w:rsidR="00B33E10" w:rsidRPr="00B33E10" w:rsidRDefault="00B33E10" w:rsidP="0056242A">
      <w:pPr>
        <w:ind w:firstLine="720"/>
        <w:jc w:val="both"/>
        <w:rPr>
          <w:rFonts w:eastAsia="Calibri" w:cs="Times New Roman"/>
          <w:color w:val="000000"/>
        </w:rPr>
      </w:pPr>
      <w:r w:rsidRPr="00B33E10">
        <w:rPr>
          <w:rFonts w:eastAsia="Calibri" w:cs="Times New Roman"/>
          <w:color w:val="000000"/>
        </w:rPr>
        <w:t xml:space="preserve">(2) </w:t>
      </w:r>
      <w:bookmarkStart w:id="4" w:name="_Hlk192775960"/>
      <w:r w:rsidRPr="00B33E10">
        <w:rPr>
          <w:rFonts w:eastAsia="Calibri" w:cs="Times New Roman"/>
          <w:color w:val="000000"/>
        </w:rPr>
        <w:t xml:space="preserve">By displaying a parking certification in the windshield of a vehicle that is parked in an accessible parking space with an expired parking meter, the person is swearing under penalty of false swearing that he or she is unable to </w:t>
      </w:r>
      <w:bookmarkStart w:id="5" w:name="_Hlk192775753"/>
      <w:r w:rsidRPr="00B33E10">
        <w:rPr>
          <w:rFonts w:eastAsia="Calibri" w:cs="Times New Roman"/>
          <w:color w:val="000000"/>
        </w:rPr>
        <w:t>access the parking meter without unreasonable effort</w:t>
      </w:r>
      <w:bookmarkEnd w:id="5"/>
      <w:r w:rsidRPr="00B33E10">
        <w:rPr>
          <w:rFonts w:eastAsia="Calibri" w:cs="Times New Roman"/>
          <w:color w:val="000000"/>
        </w:rPr>
        <w:t>.</w:t>
      </w:r>
      <w:bookmarkEnd w:id="4"/>
    </w:p>
    <w:p w14:paraId="5524F669" w14:textId="77777777" w:rsidR="0056242A" w:rsidRDefault="00B33E10" w:rsidP="0056242A">
      <w:pPr>
        <w:ind w:firstLine="720"/>
        <w:jc w:val="both"/>
        <w:rPr>
          <w:rFonts w:eastAsia="Calibri" w:cs="Times New Roman"/>
          <w:color w:val="000000"/>
        </w:rPr>
        <w:sectPr w:rsidR="0056242A" w:rsidSect="00DF199D">
          <w:type w:val="continuous"/>
          <w:pgSz w:w="12240" w:h="15840" w:code="1"/>
          <w:pgMar w:top="1440" w:right="1440" w:bottom="1440" w:left="1440" w:header="720" w:footer="720" w:gutter="0"/>
          <w:lnNumType w:countBy="1" w:restart="newSection"/>
          <w:cols w:space="720"/>
          <w:titlePg/>
          <w:docGrid w:linePitch="360"/>
        </w:sectPr>
      </w:pPr>
      <w:r w:rsidRPr="00B33E10">
        <w:rPr>
          <w:rFonts w:eastAsia="Calibri" w:cs="Times New Roman"/>
          <w:color w:val="000000"/>
        </w:rPr>
        <w:t xml:space="preserve">(3) </w:t>
      </w:r>
      <w:bookmarkStart w:id="6" w:name="_Hlk192775987"/>
      <w:r w:rsidRPr="00B33E10">
        <w:rPr>
          <w:rFonts w:eastAsia="Calibri" w:cs="Times New Roman"/>
          <w:color w:val="000000"/>
        </w:rPr>
        <w:t xml:space="preserve">Parking enforcement personnel may not cite a vehicle that is parked in an accessible parking space of a public entity for parking at an expired meter if the requirements of this subsection are met: </w:t>
      </w:r>
      <w:r w:rsidRPr="0056242A">
        <w:rPr>
          <w:rFonts w:eastAsia="Calibri" w:cs="Times New Roman"/>
          <w:i/>
          <w:color w:val="000000"/>
        </w:rPr>
        <w:t>Provided</w:t>
      </w:r>
      <w:r w:rsidRPr="00B33E10">
        <w:rPr>
          <w:rFonts w:eastAsia="Calibri" w:cs="Times New Roman"/>
          <w:color w:val="000000"/>
        </w:rPr>
        <w:t xml:space="preserve">, That if a parking citation is issued, it shall be prima facie evidence </w:t>
      </w:r>
      <w:r w:rsidRPr="00B33E10">
        <w:rPr>
          <w:rFonts w:eastAsia="Calibri" w:cs="Times New Roman"/>
          <w:color w:val="000000"/>
        </w:rPr>
        <w:lastRenderedPageBreak/>
        <w:t>that the person was entitled to park in the accessible parking space with an expired meter if the person produces his or her parking certification.</w:t>
      </w:r>
      <w:bookmarkEnd w:id="6"/>
    </w:p>
    <w:p w14:paraId="197CD204" w14:textId="77777777" w:rsidR="0056242A" w:rsidRPr="006239C4" w:rsidRDefault="0056242A" w:rsidP="0056242A">
      <w:pPr>
        <w:pStyle w:val="BlockText"/>
      </w:pPr>
      <w:bookmarkStart w:id="7" w:name="_Hlk195512540"/>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6491ACA8" w14:textId="77777777" w:rsidR="0056242A" w:rsidRPr="006239C4" w:rsidRDefault="0056242A" w:rsidP="0056242A">
      <w:pPr>
        <w:spacing w:line="240" w:lineRule="auto"/>
        <w:ind w:left="720" w:right="720"/>
        <w:rPr>
          <w:rFonts w:cs="Arial"/>
        </w:rPr>
      </w:pPr>
    </w:p>
    <w:p w14:paraId="439994A1" w14:textId="77777777" w:rsidR="0056242A" w:rsidRPr="006239C4" w:rsidRDefault="0056242A" w:rsidP="0056242A">
      <w:pPr>
        <w:spacing w:line="240" w:lineRule="auto"/>
        <w:ind w:left="720" w:right="720"/>
        <w:rPr>
          <w:rFonts w:cs="Arial"/>
        </w:rPr>
      </w:pPr>
    </w:p>
    <w:p w14:paraId="75E7B808" w14:textId="77777777" w:rsidR="0056242A" w:rsidRPr="006239C4" w:rsidRDefault="0056242A" w:rsidP="0056242A">
      <w:pPr>
        <w:autoSpaceDE w:val="0"/>
        <w:autoSpaceDN w:val="0"/>
        <w:adjustRightInd w:val="0"/>
        <w:spacing w:line="240" w:lineRule="auto"/>
        <w:ind w:left="720" w:right="720"/>
        <w:rPr>
          <w:rFonts w:cs="Arial"/>
        </w:rPr>
      </w:pPr>
      <w:r w:rsidRPr="006239C4">
        <w:rPr>
          <w:rFonts w:cs="Arial"/>
        </w:rPr>
        <w:t>...............................................................</w:t>
      </w:r>
    </w:p>
    <w:p w14:paraId="558BF90D" w14:textId="77777777" w:rsidR="0056242A" w:rsidRPr="006239C4" w:rsidRDefault="0056242A" w:rsidP="0056242A">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5DE4228" w14:textId="77777777" w:rsidR="0056242A" w:rsidRPr="006239C4" w:rsidRDefault="0056242A" w:rsidP="0056242A">
      <w:pPr>
        <w:autoSpaceDE w:val="0"/>
        <w:autoSpaceDN w:val="0"/>
        <w:adjustRightInd w:val="0"/>
        <w:spacing w:line="240" w:lineRule="auto"/>
        <w:ind w:left="720" w:right="720"/>
        <w:rPr>
          <w:rFonts w:cs="Arial"/>
        </w:rPr>
      </w:pPr>
    </w:p>
    <w:p w14:paraId="6A9D01F3" w14:textId="77777777" w:rsidR="0056242A" w:rsidRPr="006239C4" w:rsidRDefault="0056242A" w:rsidP="0056242A">
      <w:pPr>
        <w:autoSpaceDE w:val="0"/>
        <w:autoSpaceDN w:val="0"/>
        <w:adjustRightInd w:val="0"/>
        <w:spacing w:line="240" w:lineRule="auto"/>
        <w:ind w:left="720" w:right="720"/>
        <w:rPr>
          <w:rFonts w:cs="Arial"/>
        </w:rPr>
      </w:pPr>
    </w:p>
    <w:p w14:paraId="2460A637" w14:textId="77777777" w:rsidR="0056242A" w:rsidRPr="006239C4" w:rsidRDefault="0056242A" w:rsidP="0056242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AD544C7" w14:textId="77777777" w:rsidR="0056242A" w:rsidRPr="006239C4" w:rsidRDefault="0056242A" w:rsidP="0056242A">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2BC53FE" w14:textId="77777777" w:rsidR="0056242A" w:rsidRPr="006239C4" w:rsidRDefault="0056242A" w:rsidP="0056242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DEF1EFA" w14:textId="77777777" w:rsidR="0056242A" w:rsidRPr="006239C4" w:rsidRDefault="0056242A" w:rsidP="0056242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9841F47" w14:textId="77777777" w:rsidR="0056242A" w:rsidRDefault="0056242A" w:rsidP="0056242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CB0EB6A" w14:textId="77777777" w:rsidR="0056242A" w:rsidRPr="006239C4" w:rsidRDefault="0056242A" w:rsidP="0056242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A442ED5" w14:textId="77777777" w:rsidR="0056242A" w:rsidRPr="006239C4" w:rsidRDefault="0056242A" w:rsidP="0056242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4C55560" w14:textId="2E56050A" w:rsidR="0056242A" w:rsidRPr="006239C4" w:rsidRDefault="0056242A" w:rsidP="0056242A">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51694653" w14:textId="77777777" w:rsidR="0056242A" w:rsidRPr="006239C4" w:rsidRDefault="0056242A" w:rsidP="0056242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EBBC122" w14:textId="77777777" w:rsidR="0056242A" w:rsidRPr="006239C4" w:rsidRDefault="0056242A" w:rsidP="0056242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3ED0D2C" w14:textId="77777777" w:rsidR="0056242A" w:rsidRPr="006239C4" w:rsidRDefault="0056242A" w:rsidP="0056242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81EFFF8" w14:textId="77777777" w:rsidR="0056242A" w:rsidRPr="006239C4" w:rsidRDefault="0056242A" w:rsidP="0056242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4E7C4D" w14:textId="77777777" w:rsidR="0056242A" w:rsidRPr="006239C4" w:rsidRDefault="0056242A" w:rsidP="0056242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6035A15" w14:textId="77777777" w:rsidR="0056242A" w:rsidRPr="006239C4" w:rsidRDefault="0056242A" w:rsidP="0056242A">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9A3B5BE" w14:textId="77777777" w:rsidR="0056242A" w:rsidRPr="006239C4" w:rsidRDefault="0056242A" w:rsidP="0056242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87FF2E6" w14:textId="77777777" w:rsidR="0056242A" w:rsidRPr="006239C4" w:rsidRDefault="0056242A" w:rsidP="0056242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F960FDD" w14:textId="77777777" w:rsidR="0056242A" w:rsidRPr="006239C4" w:rsidRDefault="0056242A" w:rsidP="0056242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AEB4E81" w14:textId="77777777" w:rsidR="0056242A" w:rsidRPr="006239C4" w:rsidRDefault="0056242A" w:rsidP="0056242A">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202F6DB4" w14:textId="77777777" w:rsidR="0056242A" w:rsidRPr="006239C4" w:rsidRDefault="0056242A" w:rsidP="0056242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69046C4" w14:textId="77777777" w:rsidR="0056242A" w:rsidRPr="006239C4" w:rsidRDefault="0056242A" w:rsidP="0056242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7F7A5C4" w14:textId="77777777" w:rsidR="0056242A" w:rsidRPr="006239C4" w:rsidRDefault="0056242A" w:rsidP="0056242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29F44DD" w14:textId="77777777" w:rsidR="0056242A" w:rsidRPr="006239C4" w:rsidRDefault="0056242A" w:rsidP="0056242A">
      <w:pPr>
        <w:autoSpaceDE w:val="0"/>
        <w:autoSpaceDN w:val="0"/>
        <w:adjustRightInd w:val="0"/>
        <w:spacing w:line="240" w:lineRule="auto"/>
        <w:ind w:right="720"/>
        <w:jc w:val="both"/>
        <w:rPr>
          <w:rFonts w:cs="Arial"/>
        </w:rPr>
      </w:pPr>
    </w:p>
    <w:p w14:paraId="6321CB71" w14:textId="77777777" w:rsidR="0056242A" w:rsidRPr="006239C4" w:rsidRDefault="0056242A" w:rsidP="0056242A">
      <w:pPr>
        <w:autoSpaceDE w:val="0"/>
        <w:autoSpaceDN w:val="0"/>
        <w:adjustRightInd w:val="0"/>
        <w:spacing w:line="240" w:lineRule="auto"/>
        <w:ind w:right="720"/>
        <w:jc w:val="both"/>
        <w:rPr>
          <w:rFonts w:cs="Arial"/>
        </w:rPr>
      </w:pPr>
    </w:p>
    <w:p w14:paraId="2286A351" w14:textId="77777777" w:rsidR="0056242A" w:rsidRPr="006239C4" w:rsidRDefault="0056242A" w:rsidP="0056242A">
      <w:pPr>
        <w:autoSpaceDE w:val="0"/>
        <w:autoSpaceDN w:val="0"/>
        <w:adjustRightInd w:val="0"/>
        <w:spacing w:line="240" w:lineRule="auto"/>
        <w:ind w:left="720" w:right="720"/>
        <w:jc w:val="both"/>
        <w:rPr>
          <w:rFonts w:cs="Arial"/>
        </w:rPr>
      </w:pPr>
    </w:p>
    <w:p w14:paraId="2234182B" w14:textId="77777777" w:rsidR="0056242A" w:rsidRPr="006239C4" w:rsidRDefault="0056242A" w:rsidP="0056242A">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38FF6DF" w14:textId="77777777" w:rsidR="0056242A" w:rsidRPr="006239C4" w:rsidRDefault="0056242A" w:rsidP="0056242A">
      <w:pPr>
        <w:tabs>
          <w:tab w:val="left" w:pos="1080"/>
        </w:tabs>
        <w:autoSpaceDE w:val="0"/>
        <w:autoSpaceDN w:val="0"/>
        <w:adjustRightInd w:val="0"/>
        <w:spacing w:line="240" w:lineRule="auto"/>
        <w:ind w:left="720" w:right="720"/>
        <w:jc w:val="both"/>
        <w:rPr>
          <w:rFonts w:cs="Arial"/>
        </w:rPr>
      </w:pPr>
    </w:p>
    <w:p w14:paraId="04FEAD45" w14:textId="77777777" w:rsidR="0056242A" w:rsidRPr="006239C4" w:rsidRDefault="0056242A" w:rsidP="0056242A">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3949E4E4" w14:textId="77777777" w:rsidR="0056242A" w:rsidRPr="006239C4" w:rsidRDefault="0056242A" w:rsidP="0056242A">
      <w:pPr>
        <w:autoSpaceDE w:val="0"/>
        <w:autoSpaceDN w:val="0"/>
        <w:adjustRightInd w:val="0"/>
        <w:spacing w:line="240" w:lineRule="auto"/>
        <w:ind w:left="720" w:right="720"/>
        <w:jc w:val="both"/>
        <w:rPr>
          <w:rFonts w:cs="Arial"/>
        </w:rPr>
      </w:pPr>
    </w:p>
    <w:p w14:paraId="62DEDAD7" w14:textId="77777777" w:rsidR="0056242A" w:rsidRPr="006239C4" w:rsidRDefault="0056242A" w:rsidP="0056242A">
      <w:pPr>
        <w:autoSpaceDE w:val="0"/>
        <w:autoSpaceDN w:val="0"/>
        <w:adjustRightInd w:val="0"/>
        <w:spacing w:line="240" w:lineRule="auto"/>
        <w:ind w:left="720" w:right="720"/>
        <w:jc w:val="both"/>
        <w:rPr>
          <w:rFonts w:cs="Arial"/>
        </w:rPr>
      </w:pPr>
    </w:p>
    <w:p w14:paraId="1A7E460C" w14:textId="77777777" w:rsidR="0056242A" w:rsidRPr="006239C4" w:rsidRDefault="0056242A" w:rsidP="0056242A">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951E8F6" w14:textId="77777777" w:rsidR="0056242A" w:rsidRDefault="0056242A" w:rsidP="0056242A">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bookmarkEnd w:id="7"/>
    </w:p>
    <w:p w14:paraId="1A9914F6" w14:textId="77777777" w:rsidR="00B33E10" w:rsidRPr="00B33E10" w:rsidRDefault="00B33E10" w:rsidP="0056242A">
      <w:pPr>
        <w:ind w:firstLine="720"/>
        <w:jc w:val="both"/>
        <w:rPr>
          <w:rFonts w:eastAsia="Calibri" w:cs="Times New Roman"/>
          <w:color w:val="000000"/>
        </w:rPr>
      </w:pPr>
    </w:p>
    <w:sectPr w:rsidR="00B33E10" w:rsidRPr="00B33E10" w:rsidSect="0056242A">
      <w:headerReference w:type="even" r:id="rId19"/>
      <w:footerReference w:type="even"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D836B" w14:textId="77777777" w:rsidR="00EF03E4" w:rsidRPr="00B844FE" w:rsidRDefault="00EF03E4" w:rsidP="00B844FE">
      <w:r>
        <w:separator/>
      </w:r>
    </w:p>
  </w:endnote>
  <w:endnote w:type="continuationSeparator" w:id="0">
    <w:p w14:paraId="181F25CB" w14:textId="77777777" w:rsidR="00EF03E4" w:rsidRPr="00B844FE" w:rsidRDefault="00EF03E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5BD901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44C700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904138"/>
      <w:docPartObj>
        <w:docPartGallery w:val="Page Numbers (Bottom of Page)"/>
        <w:docPartUnique/>
      </w:docPartObj>
    </w:sdtPr>
    <w:sdtEndPr>
      <w:rPr>
        <w:noProof/>
      </w:rPr>
    </w:sdtEndPr>
    <w:sdtContent>
      <w:p w14:paraId="566F8FB1" w14:textId="7B18DCDB" w:rsidR="00935AA6" w:rsidRDefault="00935A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E852" w14:textId="77777777" w:rsidR="00B33E10" w:rsidRDefault="00B33E10" w:rsidP="008B6D9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C6E9284" w14:textId="77777777" w:rsidR="00B33E10" w:rsidRDefault="00B33E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25848" w14:textId="77777777" w:rsidR="00B33E10" w:rsidRDefault="00B33E10" w:rsidP="008B6D9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6618AC3" w14:textId="77777777" w:rsidR="00B33E10" w:rsidRDefault="00B33E1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A467" w14:textId="77777777" w:rsidR="00B33E10" w:rsidRDefault="00B33E10" w:rsidP="008B6D9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C18EE7E" w14:textId="77777777" w:rsidR="00B33E10" w:rsidRPr="00192250" w:rsidRDefault="00B33E10" w:rsidP="0019225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228C" w14:textId="77777777" w:rsidR="00B33E10" w:rsidRDefault="00B33E10" w:rsidP="008B6D9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B7B2C87" w14:textId="77777777" w:rsidR="00B33E10" w:rsidRPr="00192250" w:rsidRDefault="00B33E10" w:rsidP="0019225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95F97" w14:textId="77777777" w:rsidR="00B33E10" w:rsidRDefault="00B33E10" w:rsidP="008B6D9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DF4E737" w14:textId="77777777" w:rsidR="00B33E10" w:rsidRPr="00192250" w:rsidRDefault="00B33E10" w:rsidP="0019225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9378" w14:textId="77777777" w:rsidR="0056242A" w:rsidRDefault="0056242A"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8184F51" w14:textId="77777777" w:rsidR="0056242A" w:rsidRPr="00775992" w:rsidRDefault="0056242A"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31FAD" w14:textId="77777777" w:rsidR="00EF03E4" w:rsidRPr="00B844FE" w:rsidRDefault="00EF03E4" w:rsidP="00B844FE">
      <w:r>
        <w:separator/>
      </w:r>
    </w:p>
  </w:footnote>
  <w:footnote w:type="continuationSeparator" w:id="0">
    <w:p w14:paraId="1887B0DA" w14:textId="77777777" w:rsidR="00EF03E4" w:rsidRPr="00B844FE" w:rsidRDefault="00EF03E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86C6B" w14:textId="1A0A843A" w:rsidR="002A0269" w:rsidRPr="00B844FE" w:rsidRDefault="00DE1C93">
    <w:pPr>
      <w:pStyle w:val="Header"/>
    </w:pPr>
    <w:sdt>
      <w:sdtPr>
        <w:id w:val="-684364211"/>
        <w:placeholder>
          <w:docPart w:val="543F7F9FAEAE4ECD8FBE26096A4517D4"/>
        </w:placeholder>
        <w:temporary/>
        <w:showingPlcHdr/>
        <w15:appearance w15:val="hidden"/>
      </w:sdtPr>
      <w:sdtEndPr/>
      <w:sdtContent>
        <w:r w:rsidR="008F3608"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8F360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A5BE" w14:textId="7E270BDE" w:rsidR="006C461E" w:rsidRDefault="006C461E">
    <w:pPr>
      <w:pStyle w:val="Header"/>
    </w:pPr>
    <w:r>
      <w:t>En</w:t>
    </w:r>
    <w:r w:rsidR="00B33E10">
      <w:t>r</w:t>
    </w:r>
    <w:r>
      <w:t xml:space="preserve"> HB 2165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283C" w14:textId="77777777" w:rsidR="00B33E10" w:rsidRPr="00192250" w:rsidRDefault="00B33E10" w:rsidP="00192250">
    <w:pPr>
      <w:pStyle w:val="Header"/>
    </w:pPr>
    <w:r>
      <w:t>CS for SB 274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6C429" w14:textId="6B4D0BDF" w:rsidR="00B33E10" w:rsidRPr="00192250" w:rsidRDefault="00B33E10" w:rsidP="00192250">
    <w:pPr>
      <w:pStyle w:val="Header"/>
    </w:pPr>
    <w:r>
      <w:t>Enr HB 2165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324D2" w14:textId="77777777" w:rsidR="0056242A" w:rsidRPr="00775992" w:rsidRDefault="0056242A"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60687622">
    <w:abstractNumId w:val="0"/>
  </w:num>
  <w:num w:numId="2" w16cid:durableId="185556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40720"/>
    <w:rsid w:val="000573A9"/>
    <w:rsid w:val="00085D22"/>
    <w:rsid w:val="00093445"/>
    <w:rsid w:val="000C5C77"/>
    <w:rsid w:val="000D1C4D"/>
    <w:rsid w:val="000D45C1"/>
    <w:rsid w:val="000E3912"/>
    <w:rsid w:val="0010070F"/>
    <w:rsid w:val="0015112E"/>
    <w:rsid w:val="001552E7"/>
    <w:rsid w:val="001566B4"/>
    <w:rsid w:val="0018350F"/>
    <w:rsid w:val="001973E0"/>
    <w:rsid w:val="001A66B7"/>
    <w:rsid w:val="001C1F7F"/>
    <w:rsid w:val="001C279E"/>
    <w:rsid w:val="001D459E"/>
    <w:rsid w:val="0027011C"/>
    <w:rsid w:val="00274200"/>
    <w:rsid w:val="00275740"/>
    <w:rsid w:val="002A0269"/>
    <w:rsid w:val="002A3AB0"/>
    <w:rsid w:val="002C038F"/>
    <w:rsid w:val="00303684"/>
    <w:rsid w:val="003143F5"/>
    <w:rsid w:val="00314854"/>
    <w:rsid w:val="00334C0F"/>
    <w:rsid w:val="00350F15"/>
    <w:rsid w:val="00367EF7"/>
    <w:rsid w:val="00394191"/>
    <w:rsid w:val="003975D8"/>
    <w:rsid w:val="003A6257"/>
    <w:rsid w:val="003C0C09"/>
    <w:rsid w:val="003C51CD"/>
    <w:rsid w:val="003C71D8"/>
    <w:rsid w:val="00401B57"/>
    <w:rsid w:val="004368E0"/>
    <w:rsid w:val="00441C7C"/>
    <w:rsid w:val="004C13DD"/>
    <w:rsid w:val="004D2739"/>
    <w:rsid w:val="004D36C4"/>
    <w:rsid w:val="004E3441"/>
    <w:rsid w:val="00500579"/>
    <w:rsid w:val="00525B4D"/>
    <w:rsid w:val="00551414"/>
    <w:rsid w:val="0056242A"/>
    <w:rsid w:val="005925A0"/>
    <w:rsid w:val="005A3DAE"/>
    <w:rsid w:val="005A5366"/>
    <w:rsid w:val="005E78F1"/>
    <w:rsid w:val="0062697B"/>
    <w:rsid w:val="006369EB"/>
    <w:rsid w:val="00637E73"/>
    <w:rsid w:val="0065007B"/>
    <w:rsid w:val="006655D3"/>
    <w:rsid w:val="006865E9"/>
    <w:rsid w:val="00691F3E"/>
    <w:rsid w:val="00694BFB"/>
    <w:rsid w:val="006A106B"/>
    <w:rsid w:val="006C461E"/>
    <w:rsid w:val="006C523D"/>
    <w:rsid w:val="006D4036"/>
    <w:rsid w:val="007213F3"/>
    <w:rsid w:val="007A5259"/>
    <w:rsid w:val="007A7081"/>
    <w:rsid w:val="007B44CD"/>
    <w:rsid w:val="007C3E6D"/>
    <w:rsid w:val="007D05DC"/>
    <w:rsid w:val="007D5CBF"/>
    <w:rsid w:val="007F1CF5"/>
    <w:rsid w:val="00834EDE"/>
    <w:rsid w:val="008736AA"/>
    <w:rsid w:val="008D0A7B"/>
    <w:rsid w:val="008D275D"/>
    <w:rsid w:val="008F3608"/>
    <w:rsid w:val="008F59C8"/>
    <w:rsid w:val="00901C27"/>
    <w:rsid w:val="00935AA6"/>
    <w:rsid w:val="00980327"/>
    <w:rsid w:val="00986478"/>
    <w:rsid w:val="0099612B"/>
    <w:rsid w:val="00997680"/>
    <w:rsid w:val="009B5557"/>
    <w:rsid w:val="009D18A2"/>
    <w:rsid w:val="009E76F3"/>
    <w:rsid w:val="009F1067"/>
    <w:rsid w:val="00A31E01"/>
    <w:rsid w:val="00A527AD"/>
    <w:rsid w:val="00A718CF"/>
    <w:rsid w:val="00A83BDD"/>
    <w:rsid w:val="00AB45E1"/>
    <w:rsid w:val="00AE48A0"/>
    <w:rsid w:val="00AE61BE"/>
    <w:rsid w:val="00B16F25"/>
    <w:rsid w:val="00B24422"/>
    <w:rsid w:val="00B33E10"/>
    <w:rsid w:val="00B66B81"/>
    <w:rsid w:val="00B71B5B"/>
    <w:rsid w:val="00B80C20"/>
    <w:rsid w:val="00B844FE"/>
    <w:rsid w:val="00B86B4F"/>
    <w:rsid w:val="00B93E5E"/>
    <w:rsid w:val="00B97E3C"/>
    <w:rsid w:val="00BA1F84"/>
    <w:rsid w:val="00BA662A"/>
    <w:rsid w:val="00BB720A"/>
    <w:rsid w:val="00BC562B"/>
    <w:rsid w:val="00C33014"/>
    <w:rsid w:val="00C33434"/>
    <w:rsid w:val="00C34869"/>
    <w:rsid w:val="00C42EB6"/>
    <w:rsid w:val="00C85096"/>
    <w:rsid w:val="00C91699"/>
    <w:rsid w:val="00CA6AB3"/>
    <w:rsid w:val="00CB1ADC"/>
    <w:rsid w:val="00CB20EF"/>
    <w:rsid w:val="00CC1F3B"/>
    <w:rsid w:val="00CC553F"/>
    <w:rsid w:val="00CD12CB"/>
    <w:rsid w:val="00CD36CF"/>
    <w:rsid w:val="00CE0D26"/>
    <w:rsid w:val="00CF1DCA"/>
    <w:rsid w:val="00D37929"/>
    <w:rsid w:val="00D579FC"/>
    <w:rsid w:val="00D81C16"/>
    <w:rsid w:val="00DE526B"/>
    <w:rsid w:val="00DF199D"/>
    <w:rsid w:val="00E01542"/>
    <w:rsid w:val="00E345E4"/>
    <w:rsid w:val="00E3615F"/>
    <w:rsid w:val="00E365F1"/>
    <w:rsid w:val="00E514E8"/>
    <w:rsid w:val="00E62F48"/>
    <w:rsid w:val="00E831B3"/>
    <w:rsid w:val="00E95FBC"/>
    <w:rsid w:val="00ED7164"/>
    <w:rsid w:val="00EE70CB"/>
    <w:rsid w:val="00EF03E4"/>
    <w:rsid w:val="00F41CA2"/>
    <w:rsid w:val="00F443C0"/>
    <w:rsid w:val="00F57642"/>
    <w:rsid w:val="00F62EFB"/>
    <w:rsid w:val="00F838F2"/>
    <w:rsid w:val="00F84556"/>
    <w:rsid w:val="00F939A4"/>
    <w:rsid w:val="00FA7B09"/>
    <w:rsid w:val="00FD5B51"/>
    <w:rsid w:val="00FE067E"/>
    <w:rsid w:val="00FE208F"/>
    <w:rsid w:val="00FF3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235C4"/>
  <w15:chartTrackingRefBased/>
  <w15:docId w15:val="{E88BD87B-C358-42F8-A4CB-513A4FC0E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6655D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5D3"/>
    <w:rPr>
      <w:rFonts w:ascii="Segoe UI" w:hAnsi="Segoe UI" w:cs="Segoe UI"/>
      <w:sz w:val="18"/>
      <w:szCs w:val="18"/>
    </w:rPr>
  </w:style>
  <w:style w:type="character" w:styleId="PageNumber">
    <w:name w:val="page number"/>
    <w:basedOn w:val="DefaultParagraphFont"/>
    <w:uiPriority w:val="99"/>
    <w:semiHidden/>
    <w:unhideWhenUsed/>
    <w:locked/>
    <w:rsid w:val="00B33E10"/>
  </w:style>
  <w:style w:type="character" w:customStyle="1" w:styleId="SectionBodyChar">
    <w:name w:val="Section Body Char"/>
    <w:link w:val="SectionBody"/>
    <w:rsid w:val="0056242A"/>
    <w:rPr>
      <w:rFonts w:eastAsia="Calibri"/>
      <w:color w:val="000000"/>
    </w:rPr>
  </w:style>
  <w:style w:type="paragraph" w:styleId="BlockText">
    <w:name w:val="Block Text"/>
    <w:basedOn w:val="Normal"/>
    <w:uiPriority w:val="99"/>
    <w:semiHidden/>
    <w:locked/>
    <w:rsid w:val="0056242A"/>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2F6A67">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3A052D" w:rsidP="003A052D">
          <w:pPr>
            <w:pStyle w:val="7CD44D7481684EFBB2169CAE07E0AB861"/>
          </w:pPr>
          <w:r w:rsidRPr="001C1F7F">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40720"/>
    <w:rsid w:val="00075561"/>
    <w:rsid w:val="000B19C7"/>
    <w:rsid w:val="000D1C4D"/>
    <w:rsid w:val="002A3AB0"/>
    <w:rsid w:val="002F6A67"/>
    <w:rsid w:val="003A052D"/>
    <w:rsid w:val="00441C7C"/>
    <w:rsid w:val="00791900"/>
    <w:rsid w:val="00997680"/>
    <w:rsid w:val="009E76F3"/>
    <w:rsid w:val="00B97E3C"/>
    <w:rsid w:val="00D53C63"/>
    <w:rsid w:val="00E345E4"/>
    <w:rsid w:val="00F57642"/>
    <w:rsid w:val="00F86A34"/>
    <w:rsid w:val="00FF3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2F6A67"/>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3A052D"/>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F4CB4-E6F4-48EC-A99F-7787B9EB4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3748</Words>
  <Characters>21365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Seth Wright</cp:lastModifiedBy>
  <cp:revision>2</cp:revision>
  <cp:lastPrinted>2025-03-12T19:31:00Z</cp:lastPrinted>
  <dcterms:created xsi:type="dcterms:W3CDTF">2025-04-14T18:57:00Z</dcterms:created>
  <dcterms:modified xsi:type="dcterms:W3CDTF">2025-04-14T18:57:00Z</dcterms:modified>
</cp:coreProperties>
</file>